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F20794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F20794" w:rsidRPr="00F20794" w:rsidRDefault="00F20794" w:rsidP="00F20794">
      <w:pPr>
        <w:spacing w:after="0"/>
        <w:jc w:val="right"/>
        <w:rPr>
          <w:b/>
          <w:sz w:val="12"/>
          <w:szCs w:val="18"/>
        </w:rPr>
      </w:pPr>
    </w:p>
    <w:p w:rsidR="002D721A" w:rsidRPr="00F20794" w:rsidRDefault="00F20794" w:rsidP="00F20794">
      <w:pPr>
        <w:spacing w:after="0"/>
        <w:jc w:val="right"/>
        <w:rPr>
          <w:b/>
          <w:sz w:val="18"/>
          <w:szCs w:val="18"/>
        </w:rPr>
      </w:pPr>
      <w:r w:rsidRPr="00F20794">
        <w:rPr>
          <w:b/>
          <w:sz w:val="18"/>
          <w:szCs w:val="18"/>
        </w:rPr>
        <w:t xml:space="preserve">Miejsce realizacji zajęć: Białystok, ul. </w:t>
      </w:r>
      <w:proofErr w:type="spellStart"/>
      <w:r w:rsidRPr="00F20794">
        <w:rPr>
          <w:b/>
          <w:sz w:val="18"/>
          <w:szCs w:val="18"/>
        </w:rPr>
        <w:t>Jurowiecka</w:t>
      </w:r>
      <w:proofErr w:type="spellEnd"/>
      <w:r w:rsidRPr="00F20794">
        <w:rPr>
          <w:b/>
          <w:sz w:val="18"/>
          <w:szCs w:val="18"/>
        </w:rPr>
        <w:t xml:space="preserve"> 56</w:t>
      </w:r>
      <w:r w:rsidR="000E3252">
        <w:rPr>
          <w:b/>
          <w:sz w:val="18"/>
          <w:szCs w:val="18"/>
        </w:rPr>
        <w:t>, I piętro</w:t>
      </w: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2D721A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2020CE" w:rsidRPr="002D721A" w:rsidTr="00712DCF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30.07.2016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Ewa </w:t>
            </w:r>
            <w:proofErr w:type="spellStart"/>
            <w:r w:rsidRPr="002D721A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rFonts w:eastAsia="Calibri" w:cs="Times New Roman"/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</w:t>
            </w:r>
            <w:r w:rsidRPr="002D721A">
              <w:rPr>
                <w:rFonts w:eastAsia="Calibri" w:cs="Times New Roman"/>
                <w:sz w:val="18"/>
                <w:szCs w:val="18"/>
              </w:rPr>
              <w:t xml:space="preserve"> badanie układu nerwowego,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</w:t>
            </w:r>
            <w:r w:rsidRPr="002D721A">
              <w:rPr>
                <w:rFonts w:eastAsia="Calibri" w:cs="Times New Roman"/>
                <w:sz w:val="18"/>
                <w:szCs w:val="18"/>
              </w:rPr>
              <w:t xml:space="preserve"> badanie układu nerwowego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9.45 – 12.00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Ewa </w:t>
            </w:r>
            <w:proofErr w:type="spellStart"/>
            <w:r w:rsidRPr="002D721A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badanie </w:t>
            </w:r>
            <w:r w:rsidRPr="002D721A">
              <w:rPr>
                <w:rFonts w:eastAsia="Calibri" w:cs="Times New Roman"/>
                <w:sz w:val="18"/>
                <w:szCs w:val="18"/>
              </w:rPr>
              <w:t>narządu wzroku, układu mięśniowo-szkieletowego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badanie </w:t>
            </w:r>
            <w:r w:rsidRPr="002D721A">
              <w:rPr>
                <w:rFonts w:eastAsia="Calibri" w:cs="Times New Roman"/>
                <w:sz w:val="18"/>
                <w:szCs w:val="18"/>
              </w:rPr>
              <w:t>narządu wzroku, układu mięśniowo-szkieletowego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12.30 – 14.45 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 w:rsidR="002020CE" w:rsidRPr="002D721A">
              <w:rPr>
                <w:sz w:val="18"/>
                <w:szCs w:val="18"/>
              </w:rPr>
              <w:t>3 godziny)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 ocena skóry, badanie jamy brzusznej, odbytu i gruczołu krokowego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14.45 – 15.00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rPr>
          <w:trHeight w:val="6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15.00 – 16.30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badanie głowy i szyi, układ oddechowy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31.07.2016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9.55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 : badanie głowy, </w:t>
            </w:r>
            <w:proofErr w:type="spellStart"/>
            <w:r w:rsidRPr="002D721A">
              <w:rPr>
                <w:sz w:val="18"/>
                <w:szCs w:val="18"/>
              </w:rPr>
              <w:t>cd</w:t>
            </w:r>
            <w:proofErr w:type="spellEnd"/>
            <w:r w:rsidRPr="002D721A">
              <w:rPr>
                <w:sz w:val="18"/>
                <w:szCs w:val="18"/>
              </w:rPr>
              <w:t xml:space="preserve">.  męskich narządów płciowych 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ocena skóry i jej przydatków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9.55 – 10.10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10.10 – 11.40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układ oddechowy, badanie jamy brzusznej  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11.40 – 12.10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12.10 – 14.25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 w:rsidR="002020CE" w:rsidRPr="002D721A">
              <w:rPr>
                <w:sz w:val="18"/>
                <w:szCs w:val="18"/>
              </w:rPr>
              <w:t>3 godzin</w:t>
            </w:r>
            <w:r w:rsidRPr="002D721A">
              <w:rPr>
                <w:sz w:val="18"/>
                <w:szCs w:val="18"/>
              </w:rPr>
              <w:t>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badanie przedmiotowe: układ sercowo – naczyniowy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układ sercowo – naczyniowy  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20.08.2016</w:t>
            </w:r>
          </w:p>
          <w:p w:rsidR="002020CE" w:rsidRDefault="00191081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</w:t>
            </w:r>
            <w:r w:rsidR="002020CE" w:rsidRPr="002D721A">
              <w:rPr>
                <w:b/>
                <w:sz w:val="18"/>
                <w:szCs w:val="18"/>
              </w:rPr>
              <w:t>obota</w:t>
            </w:r>
          </w:p>
          <w:p w:rsidR="00191081" w:rsidRPr="00337B56" w:rsidRDefault="00191081" w:rsidP="00191081">
            <w:pPr>
              <w:jc w:val="center"/>
              <w:rPr>
                <w:b/>
                <w:color w:val="FF0000"/>
                <w:sz w:val="16"/>
              </w:rPr>
            </w:pPr>
            <w:r w:rsidRPr="00337B56">
              <w:rPr>
                <w:b/>
                <w:color w:val="FF0000"/>
                <w:sz w:val="16"/>
              </w:rPr>
              <w:t>ZAJĘCIA W CENTRUM SYMULACJI W SUWAŁKACH</w:t>
            </w:r>
          </w:p>
          <w:p w:rsidR="00191081" w:rsidRPr="00337B56" w:rsidRDefault="00191081" w:rsidP="00191081">
            <w:pPr>
              <w:jc w:val="center"/>
              <w:rPr>
                <w:b/>
                <w:color w:val="FF0000"/>
                <w:sz w:val="12"/>
              </w:rPr>
            </w:pPr>
            <w:r w:rsidRPr="00337B56">
              <w:rPr>
                <w:b/>
                <w:color w:val="FF0000"/>
                <w:sz w:val="12"/>
              </w:rPr>
              <w:t>Ul. Innowacyjna 1</w:t>
            </w:r>
          </w:p>
          <w:p w:rsidR="00191081" w:rsidRPr="002D721A" w:rsidRDefault="00191081" w:rsidP="002D72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10.15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 badanie głowy i szyi </w:t>
            </w:r>
          </w:p>
        </w:tc>
      </w:tr>
      <w:tr w:rsidR="002020CE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10.30 – 13.30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(4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badanie głowy i szyi 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13.30 – 14.00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14.00 – 16.15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 w:rsidR="002020CE" w:rsidRPr="002D721A">
              <w:rPr>
                <w:sz w:val="18"/>
                <w:szCs w:val="18"/>
              </w:rPr>
              <w:t>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badanie jamy brzusznej, odbytu i gruczołu krokowego , męskich narządów płciowych, układ oddechowy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odbytu i gruczołu krokowego .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16.15 – 16.30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16.30 – 18.20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(2,5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 II: układ oddechowy, ocena skóry i jej wytworów/przydatków , badanie jamy brzusznej </w:t>
            </w:r>
          </w:p>
        </w:tc>
      </w:tr>
    </w:tbl>
    <w:p w:rsidR="002D721A" w:rsidRDefault="002D721A"/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712DCF">
        <w:trPr>
          <w:trHeight w:val="225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21.08.2016</w:t>
            </w:r>
          </w:p>
          <w:p w:rsidR="002020CE" w:rsidRDefault="00191081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N</w:t>
            </w:r>
            <w:r w:rsidR="002020CE" w:rsidRPr="002D721A">
              <w:rPr>
                <w:b/>
                <w:sz w:val="18"/>
                <w:szCs w:val="18"/>
              </w:rPr>
              <w:t>iedziela</w:t>
            </w:r>
          </w:p>
          <w:p w:rsidR="00191081" w:rsidRPr="00337B56" w:rsidRDefault="00191081" w:rsidP="00191081">
            <w:pPr>
              <w:jc w:val="center"/>
              <w:rPr>
                <w:b/>
                <w:color w:val="FF0000"/>
                <w:sz w:val="16"/>
              </w:rPr>
            </w:pPr>
            <w:r w:rsidRPr="00337B56">
              <w:rPr>
                <w:b/>
                <w:color w:val="FF0000"/>
                <w:sz w:val="16"/>
              </w:rPr>
              <w:t>ZAJĘCIA W CENTRUM SYMULACJI W SUWAŁKACH</w:t>
            </w:r>
          </w:p>
          <w:p w:rsidR="00191081" w:rsidRPr="00337B56" w:rsidRDefault="00191081" w:rsidP="00191081">
            <w:pPr>
              <w:jc w:val="center"/>
              <w:rPr>
                <w:b/>
                <w:color w:val="FF0000"/>
                <w:sz w:val="12"/>
              </w:rPr>
            </w:pPr>
            <w:r w:rsidRPr="00337B56">
              <w:rPr>
                <w:b/>
                <w:color w:val="FF0000"/>
                <w:sz w:val="12"/>
              </w:rPr>
              <w:t>Ul. Innowacyjna 1</w:t>
            </w:r>
          </w:p>
          <w:p w:rsidR="00191081" w:rsidRPr="002D721A" w:rsidRDefault="00191081" w:rsidP="002D72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10.15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jamy brzusznej, męskich narządów płciowych, węzłów chłonnych</w:t>
            </w:r>
          </w:p>
        </w:tc>
      </w:tr>
      <w:tr w:rsidR="002020CE" w:rsidRPr="002D721A" w:rsidTr="00712DCF">
        <w:trPr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10.30 – 12.45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I: układ sercowo – naczyniowy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układ sercowo – naczyniowy </w:t>
            </w:r>
          </w:p>
        </w:tc>
      </w:tr>
      <w:tr w:rsidR="002020CE" w:rsidRPr="002D721A" w:rsidTr="00712DCF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13.15 – 15.30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badanie układu mięśniowo - szkieletowego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 badanie układu mięśniowo - szkieletowego 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15.45 – 17.15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ćwiczenia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 I: układ nerwowy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układu nerwowego</w:t>
            </w:r>
          </w:p>
        </w:tc>
      </w:tr>
      <w:tr w:rsidR="002020CE" w:rsidRPr="002D721A" w:rsidTr="00712DCF">
        <w:trPr>
          <w:trHeight w:val="1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17.15 – 18.00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(1 godzina)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ćwiczeń</w:t>
            </w:r>
          </w:p>
        </w:tc>
      </w:tr>
      <w:tr w:rsidR="002020CE" w:rsidRPr="002D721A" w:rsidTr="00712DCF">
        <w:trPr>
          <w:trHeight w:val="11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3.09.2016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9.30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badanie podmiotowe (wywiad) 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rPr>
          <w:trHeight w:val="11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9.45 – 11.15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  badanie podmiotowe (wywiad) ,badanie przedmiotowe: sutki i doły pachowe 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11.15 – 11.45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11.45 – 14.00 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  3 godzin)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I:badanie przedmiotowe: sutki i doły pachowe, badanie żeńskich narządów płciowych 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4.09.2016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8.00– 9.10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(1,5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ocena objawów ogólnoustrojowych, sutki i doły pachowe  ( ćwiczenia)</w:t>
            </w:r>
          </w:p>
        </w:tc>
      </w:tr>
      <w:tr w:rsidR="002020CE" w:rsidRPr="002D721A" w:rsidTr="00712DCF">
        <w:trPr>
          <w:trHeight w:val="22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9.10 – 9.25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kawowa</w:t>
            </w:r>
          </w:p>
        </w:tc>
      </w:tr>
      <w:tr w:rsidR="002020CE" w:rsidRPr="002D721A" w:rsidTr="00712DC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9.25 – 12.05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(3,5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 badanie żeńskich narządów płciowych (zaliczenie ćwiczeń)</w:t>
            </w:r>
          </w:p>
        </w:tc>
      </w:tr>
      <w:tr w:rsidR="002020CE" w:rsidRPr="002D721A" w:rsidTr="00712DCF">
        <w:trPr>
          <w:trHeight w:val="12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12.05 – 12.35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116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12.35 – 14.05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modułu I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II: badanie odbytu i gruczołu krokowego, badanie męskich narządów płciowych </w:t>
            </w:r>
          </w:p>
        </w:tc>
      </w:tr>
      <w:tr w:rsidR="002020CE" w:rsidRPr="002D721A" w:rsidTr="00712DCF">
        <w:trPr>
          <w:trHeight w:val="19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14.05– 14.20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14.20 – 16.35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Dorota Bielska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II: badanie węzłów chłonnych, głowy i szyi</w:t>
            </w:r>
          </w:p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Modułu II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24.09.2016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9.30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III: analiza wyników badania stanu zdrowia osoby dorosłej</w:t>
            </w:r>
          </w:p>
        </w:tc>
      </w:tr>
      <w:tr w:rsidR="002020CE" w:rsidRPr="002D721A" w:rsidTr="00712DCF">
        <w:trPr>
          <w:trHeight w:val="138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3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9.45 – 12.00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(3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III:  ocena stanu zdrowia osoby dorosłej a ustalenie wstępnego rozpoznania pielęgniarskiego </w:t>
            </w:r>
          </w:p>
        </w:tc>
      </w:tr>
      <w:tr w:rsidR="002020CE" w:rsidRPr="002D721A" w:rsidTr="00712DCF">
        <w:trPr>
          <w:trHeight w:val="11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020CE" w:rsidRPr="002D721A" w:rsidTr="00712DCF">
        <w:trPr>
          <w:trHeight w:val="292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12.30 – 14.00</w:t>
            </w:r>
          </w:p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2020CE" w:rsidRPr="002D721A" w:rsidTr="00712DCF">
        <w:trPr>
          <w:trHeight w:val="25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14.00– 14.15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kawę</w:t>
            </w:r>
          </w:p>
        </w:tc>
      </w:tr>
      <w:tr w:rsidR="002020CE" w:rsidRPr="002D721A" w:rsidTr="00712DCF">
        <w:trPr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14.15 – 15.45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Krystyna Piekut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Moduł III: wykorzystanie kwalifikacji praktyki pielęgniarskiej opartej na zasadach krytycznego myślenia i dowodach naukowych</w:t>
            </w:r>
          </w:p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modułu III</w:t>
            </w:r>
          </w:p>
        </w:tc>
      </w:tr>
      <w:tr w:rsidR="002020CE" w:rsidRPr="002D721A" w:rsidTr="002D721A">
        <w:trPr>
          <w:trHeight w:val="18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15.10.2016</w:t>
            </w:r>
          </w:p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8.00 – 9.00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(1 godzina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Zaliczenie kursu</w:t>
            </w:r>
          </w:p>
        </w:tc>
      </w:tr>
    </w:tbl>
    <w:p w:rsidR="002020CE" w:rsidRPr="002D721A" w:rsidRDefault="002020CE" w:rsidP="00597928">
      <w:pPr>
        <w:jc w:val="both"/>
        <w:rPr>
          <w:sz w:val="18"/>
          <w:szCs w:val="18"/>
        </w:rPr>
      </w:pPr>
    </w:p>
    <w:sectPr w:rsidR="002020CE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FA" w:rsidRDefault="00FC08FA" w:rsidP="001849C5">
      <w:pPr>
        <w:spacing w:after="0" w:line="240" w:lineRule="auto"/>
      </w:pPr>
      <w:r>
        <w:separator/>
      </w:r>
    </w:p>
  </w:endnote>
  <w:endnote w:type="continuationSeparator" w:id="0">
    <w:p w:rsidR="00FC08FA" w:rsidRDefault="00FC08F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FA" w:rsidRDefault="00FC08FA" w:rsidP="001849C5">
      <w:pPr>
        <w:spacing w:after="0" w:line="240" w:lineRule="auto"/>
      </w:pPr>
      <w:r>
        <w:separator/>
      </w:r>
    </w:p>
  </w:footnote>
  <w:footnote w:type="continuationSeparator" w:id="0">
    <w:p w:rsidR="00FC08FA" w:rsidRDefault="00FC08FA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E33A76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E3252"/>
    <w:rsid w:val="000F5E23"/>
    <w:rsid w:val="00100BAC"/>
    <w:rsid w:val="001207E6"/>
    <w:rsid w:val="001849C5"/>
    <w:rsid w:val="001902FC"/>
    <w:rsid w:val="00191081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312CA0"/>
    <w:rsid w:val="0034385E"/>
    <w:rsid w:val="00396801"/>
    <w:rsid w:val="003A47B8"/>
    <w:rsid w:val="003D21CD"/>
    <w:rsid w:val="0043763B"/>
    <w:rsid w:val="004879EB"/>
    <w:rsid w:val="004D6361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33A76"/>
    <w:rsid w:val="00E50327"/>
    <w:rsid w:val="00E734E3"/>
    <w:rsid w:val="00E87AF4"/>
    <w:rsid w:val="00EA62AC"/>
    <w:rsid w:val="00EB5456"/>
    <w:rsid w:val="00F1133C"/>
    <w:rsid w:val="00F125DB"/>
    <w:rsid w:val="00F20794"/>
    <w:rsid w:val="00F41E52"/>
    <w:rsid w:val="00F42542"/>
    <w:rsid w:val="00F55F95"/>
    <w:rsid w:val="00F61621"/>
    <w:rsid w:val="00FA67FA"/>
    <w:rsid w:val="00FB189D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DC03-FA6D-4D79-AAC5-0090FD52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19</cp:revision>
  <cp:lastPrinted>2016-07-27T07:57:00Z</cp:lastPrinted>
  <dcterms:created xsi:type="dcterms:W3CDTF">2016-05-13T13:04:00Z</dcterms:created>
  <dcterms:modified xsi:type="dcterms:W3CDTF">2016-11-21T08:38:00Z</dcterms:modified>
</cp:coreProperties>
</file>