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AB47EC">
        <w:rPr>
          <w:b/>
          <w:sz w:val="32"/>
          <w:szCs w:val="36"/>
        </w:rPr>
        <w:t>X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AB47EC" w:rsidRPr="00AB47EC" w:rsidRDefault="00AB47EC" w:rsidP="00AB47EC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AB47EC" w:rsidTr="00AB47EC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AB47EC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MODUŁ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25.03.2017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9.30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I: Dolegliwości ze strony poszczególnych układów i narządów: oczy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głowy i szyi: oko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I: Dolegliwości ze strony poszczególnych układów i narządów: układ mięśniowo-szkieletowy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9.45 – 12.25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(3,5 godziny )</w:t>
            </w:r>
          </w:p>
        </w:tc>
        <w:tc>
          <w:tcPr>
            <w:tcW w:w="1648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Badanie układu mięśniowo-szkieletowego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I: Dolegliwości ze strony poszczególnych układów i narządów: układ nerwowy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układu nerwowego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8.04.2017</w:t>
            </w:r>
          </w:p>
          <w:p w:rsidR="00AB47EC" w:rsidRPr="00AB47EC" w:rsidRDefault="00AB47EC" w:rsidP="00AB47EC">
            <w:pPr>
              <w:rPr>
                <w:b/>
                <w:color w:val="FF0000"/>
                <w:sz w:val="18"/>
              </w:rPr>
            </w:pPr>
            <w:r w:rsidRPr="00AB47EC">
              <w:rPr>
                <w:b/>
                <w:color w:val="FF0000"/>
                <w:sz w:val="18"/>
              </w:rPr>
              <w:t>ZAJĘCIA W CENTRUM SYMULACJI W SUWAŁKACH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10.15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 Ocena skóry i jej wytworów /przydatków ;  Ocena węzłów chłonnych ;  Badanie odbytu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kawowa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10.30 – 13.30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(4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Badanie głowy i szyi ;  Badanie brzucha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13.30 – 14.00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14.00 – 16.15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Badanie głowy i szyi ;  Badanie brzucha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16.15 – 16.30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16.30 – 18.25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 II: Układ oddechowy ;  Układ serowo – naczyniowy </w:t>
            </w:r>
          </w:p>
        </w:tc>
      </w:tr>
    </w:tbl>
    <w:p w:rsidR="00AB47EC" w:rsidRDefault="00AB47EC">
      <w:r>
        <w:br w:type="page"/>
      </w:r>
    </w:p>
    <w:p w:rsidR="00CA6E46" w:rsidRDefault="00CA6E46"/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9.04.2017</w:t>
            </w:r>
          </w:p>
          <w:p w:rsidR="00AB47EC" w:rsidRPr="00AB47EC" w:rsidRDefault="00AB47EC" w:rsidP="00AB47EC">
            <w:pPr>
              <w:rPr>
                <w:b/>
                <w:color w:val="FF0000"/>
                <w:sz w:val="18"/>
              </w:rPr>
            </w:pPr>
            <w:r w:rsidRPr="00AB47EC">
              <w:rPr>
                <w:b/>
                <w:color w:val="FF0000"/>
                <w:sz w:val="18"/>
              </w:rPr>
              <w:t>ZAJĘCIA W CENTRUM SYMULACJI W SUWAŁKACH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10.15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Układ serowo – naczyniowy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kawowa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10.30 – 12.25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Układ sercowo – naczyniowy ; Badanie męskich narządów płciowych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12.55 – 15.10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Badanie układu mięśniowo - szkieletowego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15.10 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15.25 – 17.40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 II: Układ nerwowy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17.40 – 18.25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(1 godzina)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Zaliczenie ćwiczeń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29.04.2017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12.55 – 15.10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AB47EC">
              <w:rPr>
                <w:rFonts w:cstheme="minorHAnsi"/>
              </w:rPr>
              <w:t>skóra</w:t>
            </w:r>
            <w:proofErr w:type="spellEnd"/>
            <w:r w:rsidRPr="00AB47EC">
              <w:rPr>
                <w:rFonts w:cstheme="minorHAnsi"/>
              </w:rPr>
              <w:t>, włosy, paznokcie, głowa, uszy, nos, zatoki, jama ustna i gardło, szyja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skóry i jej wytworów/przydatków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15.10 – 15.35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15.35 – 17.40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skóry i jej wytworów/przydatków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Moduł I: Dolegliwości ze strony poszczególnych układów i narządów: układ oddechowy, krążenia, pokarmowy, krwiotwórczy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30.04.2017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10.15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I: Dolegliwości ze strony poszczególnych układów i narządów: układ dokrewny, układ  moczowy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węzłów chłonnych 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10.30 – 12.25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głowy i szyi 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12.25 – 12.40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12.40 – 15.55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Układ oddechowy  </w:t>
            </w:r>
          </w:p>
        </w:tc>
      </w:tr>
    </w:tbl>
    <w:p w:rsidR="00CA6E46" w:rsidRDefault="00CA6E46"/>
    <w:p w:rsidR="00CA6E46" w:rsidRDefault="00CA6E46"/>
    <w:p w:rsidR="00CA6E46" w:rsidRDefault="00CA6E46"/>
    <w:p w:rsidR="00CA6E46" w:rsidRDefault="00CA6E46"/>
    <w:p w:rsidR="00AB47EC" w:rsidRDefault="00AB47EC"/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6.05.2017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8.00 – 10.15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10.30 – 12.40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ocena objawów ogólnoustrojowych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12.40 – 13.10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13.10 – 15.25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Sutki i doły pachowe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7.05.2017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9.55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żeńskich narządów płciowych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9.55 – 10.10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kawowa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10.10 – 12.25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 Badanie żeńskich narządów płciowych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Zaliczenie ćwiczeń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12.55 – 15.10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 xml:space="preserve">Zaliczenie modułu I 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II: Badanie brzucha;  Badanie odbytu ;  Badanie męskich narządów płciowych 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15.10–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15.25 – 17.20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II: Układ sercowo-naczyniowy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 xml:space="preserve">Zaliczenie Modułu II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27.05.2017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8.00 – 9.30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III: Analiza wyników badania stanu zdrowia osoby dorosłej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9.45 – 12.00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III:  Ocena stanu zdrowia osoby dorosłej a ustalenie wstępnego rozpoznania pielęgniarskiego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lunch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12.30 – 14.00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Moduł III:  Ocena stanu zdrowia osoby dorosłej a ustalenie wstępnego rozpoznania pielęgniarskiego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14.00–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Przerwa na kawę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14.15 – 16.30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Moduł III:  Wykorzystanie kwalifikacji praktyki pielęgniarskiej opartej na zasadach krytycznego myślenia i dowodach naukowych 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 xml:space="preserve">Zaliczenie Modułu III </w:t>
            </w:r>
          </w:p>
        </w:tc>
      </w:tr>
      <w:tr w:rsidR="00AB47EC" w:rsidRPr="00AB47EC" w:rsidTr="00AB47EC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23.06.2017</w:t>
            </w:r>
          </w:p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>10.00 –11.00</w:t>
            </w:r>
          </w:p>
          <w:p w:rsidR="00AB47EC" w:rsidRPr="00AB47EC" w:rsidRDefault="00AB47EC" w:rsidP="00AB47EC">
            <w:pPr>
              <w:rPr>
                <w:rFonts w:cstheme="minorHAnsi"/>
              </w:rPr>
            </w:pPr>
            <w:r w:rsidRPr="00AB47EC">
              <w:rPr>
                <w:rFonts w:cstheme="minorHAnsi"/>
              </w:rPr>
              <w:t xml:space="preserve"> (1 godzina 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EC" w:rsidRPr="00AB47EC" w:rsidRDefault="00AB47EC" w:rsidP="00AB47EC">
            <w:pPr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Zaliczenie kursu</w:t>
            </w:r>
          </w:p>
        </w:tc>
      </w:tr>
    </w:tbl>
    <w:p w:rsidR="00AB47EC" w:rsidRPr="00D85D81" w:rsidRDefault="00AB47EC" w:rsidP="00AB47EC">
      <w:pPr>
        <w:rPr>
          <w:rFonts w:cstheme="minorHAnsi"/>
        </w:rPr>
      </w:pPr>
    </w:p>
    <w:sectPr w:rsidR="00AB47EC" w:rsidRPr="00D85D81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EC" w:rsidRDefault="00AB47EC" w:rsidP="001849C5">
      <w:pPr>
        <w:spacing w:after="0" w:line="240" w:lineRule="auto"/>
      </w:pPr>
      <w:r>
        <w:separator/>
      </w:r>
    </w:p>
  </w:endnote>
  <w:endnote w:type="continuationSeparator" w:id="0">
    <w:p w:rsidR="00AB47EC" w:rsidRDefault="00AB47EC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EC" w:rsidRDefault="00AB47EC" w:rsidP="001849C5">
      <w:pPr>
        <w:spacing w:after="0" w:line="240" w:lineRule="auto"/>
      </w:pPr>
      <w:r>
        <w:separator/>
      </w:r>
    </w:p>
  </w:footnote>
  <w:footnote w:type="continuationSeparator" w:id="0">
    <w:p w:rsidR="00AB47EC" w:rsidRDefault="00AB47EC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EC" w:rsidRDefault="00AB47EC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47EC" w:rsidRDefault="00AB47EC">
    <w:pPr>
      <w:pStyle w:val="Nagwek"/>
    </w:pPr>
  </w:p>
  <w:p w:rsidR="00AB47EC" w:rsidRDefault="00AB47EC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AB47EC" w:rsidRDefault="00AB47EC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AB47EC" w:rsidRDefault="00AB47EC" w:rsidP="00E22A94">
    <w:pPr>
      <w:pStyle w:val="Nagwek"/>
      <w:jc w:val="center"/>
      <w:rPr>
        <w:sz w:val="16"/>
      </w:rPr>
    </w:pPr>
  </w:p>
  <w:p w:rsidR="00AB47EC" w:rsidRPr="00E22A94" w:rsidRDefault="00AB47E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04CA-4655-40AC-A954-BF042F2E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24</cp:revision>
  <cp:lastPrinted>2016-09-21T11:53:00Z</cp:lastPrinted>
  <dcterms:created xsi:type="dcterms:W3CDTF">2016-05-13T13:04:00Z</dcterms:created>
  <dcterms:modified xsi:type="dcterms:W3CDTF">2017-03-20T10:11:00Z</dcterms:modified>
</cp:coreProperties>
</file>